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20" w:rsidRDefault="00715C6C" w:rsidP="00227207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</w:pPr>
      <w:r w:rsidRPr="00A8139D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How do we measure progress? What contribution do you make?</w:t>
      </w:r>
      <w:r w:rsidR="00227207" w:rsidRPr="00A8139D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227207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227207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="00227207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="00227207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ab/>
      </w:r>
    </w:p>
    <w:p w:rsidR="00715C6C" w:rsidRPr="00227207" w:rsidRDefault="00EB3FD7" w:rsidP="00227207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</w:pPr>
      <w:bookmarkStart w:id="0" w:name="_GoBack"/>
      <w:bookmarkEnd w:id="0"/>
      <w:r w:rsidRPr="00227207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>20</w:t>
      </w:r>
      <w:r w:rsidR="00715C6C" w:rsidRPr="00227207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November 2013</w:t>
      </w:r>
    </w:p>
    <w:p w:rsidR="00715C6C" w:rsidRPr="00715C6C" w:rsidRDefault="00715C6C" w:rsidP="006C3D02">
      <w:pPr>
        <w:pStyle w:val="NormalWeb"/>
        <w:tabs>
          <w:tab w:val="left" w:pos="415"/>
          <w:tab w:val="center" w:pos="5233"/>
        </w:tabs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6C3D02" w:rsidRPr="00715C6C" w:rsidRDefault="006C3D02" w:rsidP="008D32C3">
      <w:pPr>
        <w:pStyle w:val="NormalWeb"/>
        <w:spacing w:before="0" w:beforeAutospacing="0" w:after="0" w:afterAutospacing="0"/>
        <w:ind w:right="1252"/>
        <w:jc w:val="center"/>
        <w:rPr>
          <w:color w:val="FFFFFF" w:themeColor="background1"/>
          <w:sz w:val="22"/>
          <w:szCs w:val="22"/>
        </w:rPr>
      </w:pPr>
    </w:p>
    <w:p w:rsidR="00DE019E" w:rsidRDefault="00DE019E" w:rsidP="008D32C3">
      <w:pPr>
        <w:ind w:right="1252"/>
        <w:rPr>
          <w:sz w:val="28"/>
          <w:szCs w:val="28"/>
        </w:rPr>
      </w:pPr>
    </w:p>
    <w:p w:rsidR="00DE019E" w:rsidRDefault="00DE019E" w:rsidP="008D32C3">
      <w:pPr>
        <w:ind w:right="1252"/>
        <w:rPr>
          <w:sz w:val="28"/>
          <w:szCs w:val="28"/>
        </w:rPr>
      </w:pPr>
    </w:p>
    <w:p w:rsidR="00DE019E" w:rsidRDefault="0003409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2" type="#_x0000_t127" style="position:absolute;margin-left:389.15pt;margin-top:25.25pt;width:108.3pt;height:58.2pt;rotation:14843703fd;z-index:251663360"/>
        </w:pict>
      </w:r>
      <w:r>
        <w:rPr>
          <w:noProof/>
          <w:sz w:val="28"/>
          <w:szCs w:val="28"/>
          <w:lang w:eastAsia="en-A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9" type="#_x0000_t23" style="position:absolute;margin-left:3.25pt;margin-top:.2pt;width:477.85pt;height:556.4pt;z-index:251660288"/>
        </w:pict>
      </w:r>
    </w:p>
    <w:p w:rsidR="00DE019E" w:rsidRDefault="0003409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shape id="_x0000_s1031" type="#_x0000_t127" style="position:absolute;margin-left:-18.6pt;margin-top:13.75pt;width:108.3pt;height:58.2pt;rotation:9087335fd;z-index:251662336"/>
        </w:pict>
      </w: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03409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oundrect id="_x0000_s1030" style="position:absolute;margin-left:194.25pt;margin-top:10.8pt;width:86.15pt;height:32.75pt;z-index:251661312" arcsize="10923f"/>
        </w:pict>
      </w: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DE019E">
      <w:pPr>
        <w:rPr>
          <w:sz w:val="28"/>
          <w:szCs w:val="28"/>
        </w:rPr>
      </w:pPr>
    </w:p>
    <w:p w:rsidR="00DE019E" w:rsidRDefault="0003409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shape id="_x0000_s1034" type="#_x0000_t127" style="position:absolute;margin-left:397.85pt;margin-top:30.15pt;width:108.3pt;height:58.2pt;rotation:-3595080fd;z-index:251665408"/>
        </w:pict>
      </w:r>
      <w:r>
        <w:rPr>
          <w:noProof/>
          <w:sz w:val="28"/>
          <w:szCs w:val="28"/>
          <w:lang w:eastAsia="en-AU"/>
        </w:rPr>
        <w:pict>
          <v:shape id="_x0000_s1033" type="#_x0000_t127" style="position:absolute;margin-left:-21.8pt;margin-top:40pt;width:108.3pt;height:58.2pt;rotation:3910047fd;z-index:251664384"/>
        </w:pict>
      </w:r>
    </w:p>
    <w:p w:rsidR="000475B2" w:rsidRDefault="000475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2C3" w:rsidRDefault="008D32C3">
      <w:pPr>
        <w:rPr>
          <w:i/>
          <w:sz w:val="28"/>
          <w:szCs w:val="28"/>
        </w:rPr>
      </w:pPr>
    </w:p>
    <w:p w:rsidR="00D550DE" w:rsidRPr="000475B2" w:rsidRDefault="000475B2" w:rsidP="00D550DE">
      <w:pPr>
        <w:rPr>
          <w:i/>
          <w:sz w:val="36"/>
          <w:szCs w:val="36"/>
        </w:rPr>
      </w:pPr>
      <w:r w:rsidRPr="000475B2">
        <w:rPr>
          <w:i/>
          <w:sz w:val="36"/>
          <w:szCs w:val="36"/>
        </w:rPr>
        <w:t>Client progress checklist</w:t>
      </w:r>
      <w:r w:rsidR="00D550DE">
        <w:rPr>
          <w:i/>
          <w:sz w:val="36"/>
          <w:szCs w:val="36"/>
        </w:rPr>
        <w:t xml:space="preserve"> – What to look for</w:t>
      </w:r>
    </w:p>
    <w:p w:rsidR="000475B2" w:rsidRDefault="000475B2">
      <w:pPr>
        <w:rPr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134"/>
      </w:tblGrid>
      <w:tr w:rsidR="000475B2" w:rsidTr="00D930FF">
        <w:tc>
          <w:tcPr>
            <w:tcW w:w="8188" w:type="dxa"/>
          </w:tcPr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D930FF">
            <w:pPr>
              <w:ind w:left="34" w:hanging="34"/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D930FF">
            <w:pPr>
              <w:ind w:left="34" w:hanging="34"/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D930FF">
            <w:pPr>
              <w:ind w:left="34" w:hanging="34"/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D930FF">
            <w:pPr>
              <w:ind w:left="34" w:hanging="34"/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  <w:p w:rsidR="000475B2" w:rsidRDefault="000475B2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D930FF">
            <w:pPr>
              <w:ind w:left="34" w:hanging="34"/>
              <w:rPr>
                <w:i/>
                <w:sz w:val="28"/>
                <w:szCs w:val="28"/>
              </w:rPr>
            </w:pPr>
          </w:p>
        </w:tc>
      </w:tr>
    </w:tbl>
    <w:p w:rsidR="000475B2" w:rsidRDefault="000475B2">
      <w:pPr>
        <w:rPr>
          <w:i/>
          <w:sz w:val="28"/>
          <w:szCs w:val="28"/>
        </w:rPr>
      </w:pPr>
    </w:p>
    <w:p w:rsidR="000475B2" w:rsidRDefault="000475B2">
      <w:pPr>
        <w:rPr>
          <w:i/>
          <w:sz w:val="28"/>
          <w:szCs w:val="28"/>
        </w:rPr>
      </w:pPr>
    </w:p>
    <w:p w:rsidR="00D550DE" w:rsidRPr="000475B2" w:rsidRDefault="000475B2" w:rsidP="00D550DE">
      <w:pPr>
        <w:rPr>
          <w:i/>
          <w:sz w:val="36"/>
          <w:szCs w:val="36"/>
        </w:rPr>
      </w:pPr>
      <w:r>
        <w:rPr>
          <w:i/>
          <w:sz w:val="36"/>
          <w:szCs w:val="36"/>
        </w:rPr>
        <w:t>Service</w:t>
      </w:r>
      <w:r w:rsidRPr="000475B2">
        <w:rPr>
          <w:i/>
          <w:sz w:val="36"/>
          <w:szCs w:val="36"/>
        </w:rPr>
        <w:t xml:space="preserve"> progress checklist</w:t>
      </w:r>
      <w:r w:rsidR="00D550DE">
        <w:rPr>
          <w:i/>
          <w:sz w:val="36"/>
          <w:szCs w:val="36"/>
        </w:rPr>
        <w:t xml:space="preserve"> – What to look for</w:t>
      </w:r>
    </w:p>
    <w:p w:rsidR="000475B2" w:rsidRPr="000475B2" w:rsidRDefault="000475B2">
      <w:pPr>
        <w:rPr>
          <w:i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</w:tbl>
    <w:p w:rsidR="000475B2" w:rsidRDefault="000475B2">
      <w:pPr>
        <w:rPr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:rsidR="000475B2" w:rsidRPr="000475B2" w:rsidRDefault="000475B2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Business</w:t>
      </w:r>
      <w:r w:rsidRPr="000475B2">
        <w:rPr>
          <w:i/>
          <w:sz w:val="36"/>
          <w:szCs w:val="36"/>
        </w:rPr>
        <w:t xml:space="preserve"> progress</w:t>
      </w:r>
      <w:r>
        <w:rPr>
          <w:i/>
          <w:sz w:val="36"/>
          <w:szCs w:val="36"/>
        </w:rPr>
        <w:t xml:space="preserve"> checklist</w:t>
      </w:r>
      <w:r w:rsidR="00D550DE">
        <w:rPr>
          <w:i/>
          <w:sz w:val="36"/>
          <w:szCs w:val="36"/>
        </w:rPr>
        <w:t xml:space="preserve"> – What to look for</w:t>
      </w:r>
    </w:p>
    <w:p w:rsidR="000475B2" w:rsidRDefault="000475B2">
      <w:pPr>
        <w:rPr>
          <w:i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  <w:tr w:rsidR="000475B2" w:rsidTr="00D930FF">
        <w:tc>
          <w:tcPr>
            <w:tcW w:w="8188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75B2" w:rsidRDefault="000475B2" w:rsidP="007A29E1">
            <w:pPr>
              <w:rPr>
                <w:i/>
                <w:sz w:val="28"/>
                <w:szCs w:val="28"/>
              </w:rPr>
            </w:pPr>
          </w:p>
        </w:tc>
      </w:tr>
    </w:tbl>
    <w:p w:rsidR="000475B2" w:rsidRDefault="000475B2">
      <w:pPr>
        <w:rPr>
          <w:i/>
          <w:sz w:val="28"/>
          <w:szCs w:val="28"/>
        </w:rPr>
      </w:pPr>
    </w:p>
    <w:p w:rsidR="000475B2" w:rsidRDefault="000475B2" w:rsidP="00D930FF">
      <w:pPr>
        <w:ind w:right="1252"/>
        <w:rPr>
          <w:i/>
          <w:sz w:val="28"/>
          <w:szCs w:val="28"/>
        </w:rPr>
      </w:pPr>
    </w:p>
    <w:p w:rsidR="000475B2" w:rsidRDefault="000475B2" w:rsidP="00D930FF">
      <w:pPr>
        <w:ind w:right="1252"/>
        <w:jc w:val="center"/>
        <w:rPr>
          <w:b/>
          <w:sz w:val="28"/>
          <w:szCs w:val="28"/>
        </w:rPr>
      </w:pPr>
      <w:r w:rsidRPr="000475B2">
        <w:rPr>
          <w:b/>
          <w:sz w:val="28"/>
          <w:szCs w:val="28"/>
        </w:rPr>
        <w:t>JOINING THE DOTS</w:t>
      </w:r>
    </w:p>
    <w:p w:rsidR="000475B2" w:rsidRDefault="000475B2" w:rsidP="00D930FF">
      <w:pPr>
        <w:ind w:right="1252"/>
        <w:jc w:val="center"/>
        <w:rPr>
          <w:b/>
          <w:sz w:val="28"/>
          <w:szCs w:val="28"/>
        </w:rPr>
      </w:pPr>
    </w:p>
    <w:p w:rsidR="000475B2" w:rsidRPr="00D930FF" w:rsidRDefault="000475B2" w:rsidP="00D930FF">
      <w:pPr>
        <w:spacing w:line="360" w:lineRule="auto"/>
        <w:ind w:right="1252"/>
        <w:rPr>
          <w:b/>
          <w:sz w:val="24"/>
          <w:szCs w:val="24"/>
        </w:rPr>
      </w:pPr>
      <w:r w:rsidRPr="00D930FF">
        <w:rPr>
          <w:b/>
          <w:sz w:val="24"/>
          <w:szCs w:val="24"/>
        </w:rPr>
        <w:t xml:space="preserve">In order to contribute to </w:t>
      </w:r>
      <w:r w:rsidR="00B97A13" w:rsidRPr="00D930FF">
        <w:rPr>
          <w:b/>
          <w:sz w:val="24"/>
          <w:szCs w:val="24"/>
        </w:rPr>
        <w:t>societal progress</w:t>
      </w:r>
      <w:r w:rsidR="00D930FF">
        <w:rPr>
          <w:b/>
          <w:sz w:val="24"/>
          <w:szCs w:val="24"/>
        </w:rPr>
        <w:t xml:space="preserve"> in ……………………….. (</w:t>
      </w:r>
      <w:proofErr w:type="gramStart"/>
      <w:r w:rsidR="00D930FF">
        <w:rPr>
          <w:b/>
          <w:sz w:val="24"/>
          <w:szCs w:val="24"/>
        </w:rPr>
        <w:t>that</w:t>
      </w:r>
      <w:proofErr w:type="gramEnd"/>
      <w:r w:rsidR="00D930FF">
        <w:rPr>
          <w:b/>
          <w:sz w:val="24"/>
          <w:szCs w:val="24"/>
        </w:rPr>
        <w:t xml:space="preserve"> is, have a SOCIAL IMPACT)  </w:t>
      </w:r>
    </w:p>
    <w:p w:rsidR="000475B2" w:rsidRPr="00D930FF" w:rsidRDefault="000475B2" w:rsidP="00D930FF">
      <w:pPr>
        <w:spacing w:line="360" w:lineRule="auto"/>
        <w:ind w:right="1252"/>
        <w:rPr>
          <w:b/>
          <w:sz w:val="24"/>
          <w:szCs w:val="24"/>
        </w:rPr>
      </w:pPr>
    </w:p>
    <w:p w:rsidR="000475B2" w:rsidRPr="00D930FF" w:rsidRDefault="00D930FF" w:rsidP="00D930FF">
      <w:pPr>
        <w:spacing w:line="360" w:lineRule="auto"/>
        <w:ind w:right="125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="00B97A13" w:rsidRPr="00D930FF">
        <w:rPr>
          <w:b/>
          <w:sz w:val="24"/>
          <w:szCs w:val="24"/>
        </w:rPr>
        <w:t>lients</w:t>
      </w:r>
      <w:proofErr w:type="gramEnd"/>
      <w:r w:rsidR="00B97A13" w:rsidRPr="00D930FF">
        <w:rPr>
          <w:b/>
          <w:sz w:val="24"/>
          <w:szCs w:val="24"/>
        </w:rPr>
        <w:t xml:space="preserve"> </w:t>
      </w:r>
      <w:r w:rsidR="000475B2" w:rsidRPr="00D930FF">
        <w:rPr>
          <w:b/>
          <w:sz w:val="24"/>
          <w:szCs w:val="24"/>
        </w:rPr>
        <w:t xml:space="preserve">will make </w:t>
      </w:r>
      <w:r w:rsidR="00B97A13" w:rsidRPr="00D930FF">
        <w:rPr>
          <w:b/>
          <w:sz w:val="24"/>
          <w:szCs w:val="24"/>
        </w:rPr>
        <w:t>progress shown by</w:t>
      </w:r>
      <w:r w:rsidR="00DE56DE" w:rsidRPr="00D930FF">
        <w:rPr>
          <w:b/>
          <w:sz w:val="24"/>
          <w:szCs w:val="24"/>
        </w:rPr>
        <w:t xml:space="preserve"> changes in …………………………</w:t>
      </w:r>
    </w:p>
    <w:p w:rsidR="00B97A13" w:rsidRPr="00D930FF" w:rsidRDefault="00B97A13" w:rsidP="00D930FF">
      <w:pPr>
        <w:spacing w:line="360" w:lineRule="auto"/>
        <w:ind w:right="1252"/>
        <w:rPr>
          <w:b/>
          <w:sz w:val="24"/>
          <w:szCs w:val="24"/>
        </w:rPr>
      </w:pPr>
    </w:p>
    <w:p w:rsidR="00B97A13" w:rsidRPr="00D930FF" w:rsidRDefault="00DE56DE" w:rsidP="00D930FF">
      <w:pPr>
        <w:spacing w:line="360" w:lineRule="auto"/>
        <w:ind w:right="1252"/>
        <w:rPr>
          <w:b/>
          <w:sz w:val="24"/>
          <w:szCs w:val="24"/>
        </w:rPr>
      </w:pPr>
      <w:r w:rsidRPr="00D930FF">
        <w:rPr>
          <w:b/>
          <w:sz w:val="24"/>
          <w:szCs w:val="24"/>
        </w:rPr>
        <w:t xml:space="preserve">In order to </w:t>
      </w:r>
      <w:r w:rsidR="00D930FF">
        <w:rPr>
          <w:b/>
          <w:sz w:val="24"/>
          <w:szCs w:val="24"/>
        </w:rPr>
        <w:t>contribute to client progress, w</w:t>
      </w:r>
      <w:r w:rsidRPr="00D930FF">
        <w:rPr>
          <w:b/>
          <w:sz w:val="24"/>
          <w:szCs w:val="24"/>
        </w:rPr>
        <w:t xml:space="preserve">e will </w:t>
      </w:r>
      <w:r w:rsidR="00D930FF">
        <w:rPr>
          <w:b/>
          <w:sz w:val="24"/>
          <w:szCs w:val="24"/>
        </w:rPr>
        <w:t xml:space="preserve">look for progress in our </w:t>
      </w:r>
      <w:r w:rsidRPr="00D930FF">
        <w:rPr>
          <w:b/>
          <w:sz w:val="24"/>
          <w:szCs w:val="24"/>
        </w:rPr>
        <w:t>service delivery</w:t>
      </w:r>
      <w:r w:rsidR="00D930FF">
        <w:rPr>
          <w:b/>
          <w:sz w:val="24"/>
          <w:szCs w:val="24"/>
        </w:rPr>
        <w:t xml:space="preserve"> to ……………………………..</w:t>
      </w:r>
    </w:p>
    <w:p w:rsidR="00DE56DE" w:rsidRPr="00D930FF" w:rsidRDefault="00DE56DE" w:rsidP="00D930FF">
      <w:pPr>
        <w:spacing w:line="360" w:lineRule="auto"/>
        <w:ind w:right="1252"/>
        <w:rPr>
          <w:b/>
          <w:sz w:val="24"/>
          <w:szCs w:val="24"/>
        </w:rPr>
      </w:pPr>
    </w:p>
    <w:p w:rsidR="008B67DC" w:rsidRDefault="00DE56DE" w:rsidP="00D930FF">
      <w:pPr>
        <w:spacing w:line="360" w:lineRule="auto"/>
        <w:ind w:right="1252"/>
        <w:rPr>
          <w:b/>
          <w:sz w:val="24"/>
          <w:szCs w:val="24"/>
        </w:rPr>
      </w:pPr>
      <w:r w:rsidRPr="00D930FF">
        <w:rPr>
          <w:b/>
          <w:sz w:val="24"/>
          <w:szCs w:val="24"/>
        </w:rPr>
        <w:t>In o</w:t>
      </w:r>
      <w:r w:rsidR="004C1BC5" w:rsidRPr="00D930FF">
        <w:rPr>
          <w:b/>
          <w:sz w:val="24"/>
          <w:szCs w:val="24"/>
        </w:rPr>
        <w:t>r</w:t>
      </w:r>
      <w:r w:rsidR="00D930FF">
        <w:rPr>
          <w:b/>
          <w:sz w:val="24"/>
          <w:szCs w:val="24"/>
        </w:rPr>
        <w:t>der to contribute to service delivery progress,</w:t>
      </w:r>
      <w:r w:rsidR="004C1BC5" w:rsidRPr="00D930FF">
        <w:rPr>
          <w:b/>
          <w:sz w:val="24"/>
          <w:szCs w:val="24"/>
        </w:rPr>
        <w:t xml:space="preserve"> we will </w:t>
      </w:r>
      <w:r w:rsidR="00D930FF">
        <w:rPr>
          <w:b/>
          <w:sz w:val="24"/>
          <w:szCs w:val="24"/>
        </w:rPr>
        <w:t>look for pro</w:t>
      </w:r>
      <w:r w:rsidR="004C1BC5" w:rsidRPr="00D930FF">
        <w:rPr>
          <w:b/>
          <w:sz w:val="24"/>
          <w:szCs w:val="24"/>
        </w:rPr>
        <w:t xml:space="preserve">gress </w:t>
      </w:r>
      <w:r w:rsidR="00D930FF">
        <w:rPr>
          <w:b/>
          <w:sz w:val="24"/>
          <w:szCs w:val="24"/>
        </w:rPr>
        <w:t>in our business systems and processes to ……………………………………….</w:t>
      </w:r>
    </w:p>
    <w:p w:rsidR="008B67DC" w:rsidRDefault="008B67D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56DE" w:rsidRDefault="00DE56DE" w:rsidP="00D930FF">
      <w:pPr>
        <w:spacing w:line="360" w:lineRule="auto"/>
        <w:ind w:right="1252"/>
        <w:rPr>
          <w:b/>
          <w:sz w:val="24"/>
          <w:szCs w:val="24"/>
        </w:rPr>
      </w:pPr>
    </w:p>
    <w:p w:rsidR="008B67DC" w:rsidRPr="008B67DC" w:rsidRDefault="008B67DC" w:rsidP="00DD2850">
      <w:pPr>
        <w:spacing w:line="360" w:lineRule="auto"/>
        <w:ind w:right="1252"/>
        <w:jc w:val="center"/>
        <w:rPr>
          <w:b/>
          <w:sz w:val="28"/>
          <w:szCs w:val="28"/>
        </w:rPr>
      </w:pPr>
      <w:r w:rsidRPr="008B67DC">
        <w:rPr>
          <w:b/>
          <w:sz w:val="28"/>
          <w:szCs w:val="28"/>
        </w:rPr>
        <w:t>Community Wellbeing Indicators</w:t>
      </w:r>
    </w:p>
    <w:p w:rsidR="008B67DC" w:rsidRDefault="008B67DC" w:rsidP="00D930FF">
      <w:pPr>
        <w:spacing w:line="360" w:lineRule="auto"/>
        <w:ind w:right="1252"/>
        <w:rPr>
          <w:b/>
          <w:sz w:val="24"/>
          <w:szCs w:val="24"/>
        </w:rPr>
      </w:pPr>
    </w:p>
    <w:p w:rsidR="008B67DC" w:rsidRDefault="008B67DC" w:rsidP="00D930FF">
      <w:pPr>
        <w:spacing w:line="360" w:lineRule="auto"/>
        <w:ind w:right="1252"/>
        <w:rPr>
          <w:b/>
          <w:sz w:val="24"/>
          <w:szCs w:val="24"/>
        </w:rPr>
      </w:pPr>
      <w:r>
        <w:rPr>
          <w:b/>
          <w:sz w:val="24"/>
          <w:szCs w:val="24"/>
        </w:rPr>
        <w:t>Local Government</w:t>
      </w:r>
    </w:p>
    <w:p w:rsidR="008B67DC" w:rsidRPr="008B67DC" w:rsidRDefault="00034099" w:rsidP="008B67DC">
      <w:pPr>
        <w:spacing w:line="360" w:lineRule="auto"/>
        <w:ind w:right="1252"/>
        <w:rPr>
          <w:b/>
          <w:sz w:val="24"/>
          <w:szCs w:val="24"/>
        </w:rPr>
      </w:pPr>
      <w:hyperlink r:id="rId7" w:history="1">
        <w:r w:rsidR="008B67DC" w:rsidRPr="008B67DC">
          <w:rPr>
            <w:rStyle w:val="Hyperlink"/>
            <w:b/>
            <w:sz w:val="24"/>
            <w:szCs w:val="24"/>
          </w:rPr>
          <w:t>http://www.acelg.org.au/upload/program1/1367468192_LGAQ_ACELG_Community_Wellbeing_Indicators.pdf</w:t>
        </w:r>
      </w:hyperlink>
      <w:r w:rsidR="008B67DC" w:rsidRPr="008B67DC">
        <w:rPr>
          <w:b/>
          <w:sz w:val="24"/>
          <w:szCs w:val="24"/>
        </w:rPr>
        <w:t xml:space="preserve"> </w:t>
      </w:r>
    </w:p>
    <w:p w:rsidR="008B67DC" w:rsidRDefault="008B67DC" w:rsidP="008B67DC">
      <w:pPr>
        <w:spacing w:line="360" w:lineRule="auto"/>
        <w:ind w:right="1252"/>
        <w:rPr>
          <w:b/>
          <w:sz w:val="24"/>
          <w:szCs w:val="24"/>
        </w:rPr>
      </w:pPr>
    </w:p>
    <w:p w:rsidR="008B67DC" w:rsidRDefault="008B67DC" w:rsidP="008B67DC">
      <w:pPr>
        <w:spacing w:line="360" w:lineRule="auto"/>
        <w:ind w:right="12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Resilience </w:t>
      </w:r>
    </w:p>
    <w:p w:rsidR="008B67DC" w:rsidRPr="008B67DC" w:rsidRDefault="00034099" w:rsidP="008B67DC">
      <w:pPr>
        <w:spacing w:line="360" w:lineRule="auto"/>
        <w:ind w:right="1252"/>
        <w:rPr>
          <w:b/>
          <w:sz w:val="24"/>
          <w:szCs w:val="24"/>
        </w:rPr>
      </w:pPr>
      <w:hyperlink r:id="rId8" w:history="1">
        <w:r w:rsidR="008B67DC" w:rsidRPr="008B67DC">
          <w:rPr>
            <w:rStyle w:val="Hyperlink"/>
            <w:b/>
            <w:sz w:val="24"/>
            <w:szCs w:val="24"/>
          </w:rPr>
          <w:t>http://www.communityindicatorsqld.org.au/rockhampton</w:t>
        </w:r>
      </w:hyperlink>
      <w:r w:rsidR="008B67DC" w:rsidRPr="008B67DC">
        <w:rPr>
          <w:b/>
          <w:sz w:val="24"/>
          <w:szCs w:val="24"/>
        </w:rPr>
        <w:t xml:space="preserve"> </w:t>
      </w:r>
    </w:p>
    <w:p w:rsidR="008B67DC" w:rsidRDefault="008B67DC" w:rsidP="00D930FF">
      <w:pPr>
        <w:spacing w:line="360" w:lineRule="auto"/>
        <w:ind w:right="1252"/>
        <w:rPr>
          <w:b/>
          <w:sz w:val="24"/>
          <w:szCs w:val="24"/>
        </w:rPr>
      </w:pPr>
    </w:p>
    <w:p w:rsidR="008B67DC" w:rsidRDefault="008B67DC" w:rsidP="00D930FF">
      <w:pPr>
        <w:spacing w:line="360" w:lineRule="auto"/>
        <w:ind w:right="1252"/>
        <w:rPr>
          <w:b/>
          <w:sz w:val="24"/>
          <w:szCs w:val="24"/>
        </w:rPr>
      </w:pPr>
      <w:r>
        <w:rPr>
          <w:b/>
          <w:sz w:val="24"/>
          <w:szCs w:val="24"/>
        </w:rPr>
        <w:t>Community Indicators Victoria</w:t>
      </w:r>
    </w:p>
    <w:p w:rsidR="008B67DC" w:rsidRDefault="00034099" w:rsidP="00D930FF">
      <w:pPr>
        <w:spacing w:line="360" w:lineRule="auto"/>
        <w:ind w:right="1252"/>
      </w:pPr>
      <w:hyperlink r:id="rId9" w:history="1">
        <w:r w:rsidR="008B67DC">
          <w:rPr>
            <w:rStyle w:val="Hyperlink"/>
          </w:rPr>
          <w:t>http://www.communityindicators.net.au/</w:t>
        </w:r>
      </w:hyperlink>
    </w:p>
    <w:p w:rsidR="008B67DC" w:rsidRDefault="008B67DC" w:rsidP="00D930FF">
      <w:pPr>
        <w:spacing w:line="360" w:lineRule="auto"/>
        <w:ind w:right="1252"/>
      </w:pPr>
    </w:p>
    <w:p w:rsidR="008B67DC" w:rsidRDefault="008B67DC" w:rsidP="00D930FF">
      <w:pPr>
        <w:spacing w:line="360" w:lineRule="auto"/>
        <w:ind w:right="1252"/>
      </w:pPr>
    </w:p>
    <w:p w:rsidR="008B67DC" w:rsidRDefault="008B67DC" w:rsidP="00DD2850">
      <w:pPr>
        <w:spacing w:line="360" w:lineRule="auto"/>
        <w:ind w:right="1252"/>
        <w:jc w:val="center"/>
        <w:rPr>
          <w:b/>
          <w:sz w:val="28"/>
          <w:szCs w:val="28"/>
        </w:rPr>
      </w:pPr>
      <w:r w:rsidRPr="008B67DC">
        <w:rPr>
          <w:b/>
          <w:sz w:val="28"/>
          <w:szCs w:val="28"/>
        </w:rPr>
        <w:t>Sources of data</w:t>
      </w:r>
    </w:p>
    <w:p w:rsidR="008B67DC" w:rsidRDefault="008B67DC" w:rsidP="00D930FF">
      <w:pPr>
        <w:spacing w:line="360" w:lineRule="auto"/>
        <w:ind w:right="1252"/>
        <w:rPr>
          <w:b/>
          <w:sz w:val="28"/>
          <w:szCs w:val="28"/>
        </w:rPr>
      </w:pPr>
      <w:r>
        <w:rPr>
          <w:b/>
          <w:sz w:val="28"/>
          <w:szCs w:val="28"/>
        </w:rPr>
        <w:t>Regional Australia</w:t>
      </w:r>
    </w:p>
    <w:p w:rsidR="008B67DC" w:rsidRPr="008B67DC" w:rsidRDefault="00034099" w:rsidP="008B67DC">
      <w:pPr>
        <w:spacing w:line="360" w:lineRule="auto"/>
        <w:ind w:right="1252"/>
        <w:rPr>
          <w:b/>
          <w:sz w:val="24"/>
          <w:szCs w:val="24"/>
        </w:rPr>
      </w:pPr>
      <w:hyperlink r:id="rId10" w:history="1">
        <w:r w:rsidR="008B67DC" w:rsidRPr="008B67DC">
          <w:rPr>
            <w:rStyle w:val="Hyperlink"/>
            <w:b/>
            <w:sz w:val="24"/>
            <w:szCs w:val="24"/>
          </w:rPr>
          <w:t>http://www.regionalaustralia.gov.au/queensland</w:t>
        </w:r>
      </w:hyperlink>
      <w:r w:rsidR="008B67DC" w:rsidRPr="008B67DC">
        <w:rPr>
          <w:b/>
          <w:sz w:val="24"/>
          <w:szCs w:val="24"/>
        </w:rPr>
        <w:t xml:space="preserve"> </w:t>
      </w:r>
    </w:p>
    <w:p w:rsidR="008B67DC" w:rsidRDefault="008B67DC" w:rsidP="008B67DC">
      <w:pPr>
        <w:spacing w:line="360" w:lineRule="auto"/>
        <w:ind w:right="1252"/>
        <w:rPr>
          <w:b/>
          <w:sz w:val="24"/>
          <w:szCs w:val="24"/>
        </w:rPr>
      </w:pPr>
    </w:p>
    <w:p w:rsidR="008B67DC" w:rsidRDefault="008B67DC" w:rsidP="008B67DC">
      <w:pPr>
        <w:spacing w:line="360" w:lineRule="auto"/>
        <w:ind w:right="1252"/>
        <w:rPr>
          <w:b/>
          <w:sz w:val="24"/>
          <w:szCs w:val="24"/>
        </w:rPr>
      </w:pPr>
      <w:r>
        <w:rPr>
          <w:b/>
          <w:sz w:val="24"/>
          <w:szCs w:val="24"/>
        </w:rPr>
        <w:t>Insight</w:t>
      </w:r>
    </w:p>
    <w:p w:rsidR="008B67DC" w:rsidRDefault="00034099" w:rsidP="008B67DC">
      <w:pPr>
        <w:spacing w:line="360" w:lineRule="auto"/>
        <w:ind w:right="1252"/>
        <w:rPr>
          <w:b/>
          <w:sz w:val="24"/>
          <w:szCs w:val="24"/>
        </w:rPr>
      </w:pPr>
      <w:hyperlink r:id="rId11" w:history="1">
        <w:r w:rsidR="008B67DC" w:rsidRPr="008B67DC">
          <w:rPr>
            <w:rStyle w:val="Hyperlink"/>
            <w:b/>
            <w:sz w:val="24"/>
            <w:szCs w:val="24"/>
          </w:rPr>
          <w:t>http://insight.regionalaustralia.org.au</w:t>
        </w:r>
      </w:hyperlink>
    </w:p>
    <w:p w:rsidR="00DD2850" w:rsidRDefault="00DD2850" w:rsidP="008B67DC">
      <w:pPr>
        <w:spacing w:line="360" w:lineRule="auto"/>
        <w:ind w:right="1252"/>
        <w:rPr>
          <w:b/>
          <w:sz w:val="24"/>
          <w:szCs w:val="24"/>
        </w:rPr>
      </w:pPr>
    </w:p>
    <w:p w:rsidR="00DD2850" w:rsidRDefault="00DD2850" w:rsidP="008B67DC">
      <w:pPr>
        <w:spacing w:line="360" w:lineRule="auto"/>
        <w:ind w:right="1252"/>
        <w:rPr>
          <w:b/>
          <w:sz w:val="24"/>
          <w:szCs w:val="24"/>
        </w:rPr>
      </w:pPr>
      <w:r>
        <w:rPr>
          <w:b/>
          <w:sz w:val="24"/>
          <w:szCs w:val="24"/>
        </w:rPr>
        <w:t>Australian Bureau of Statistics – Socio-economic Indexes for Areas (SEIFA)</w:t>
      </w:r>
    </w:p>
    <w:p w:rsidR="00DD2850" w:rsidRDefault="00034099" w:rsidP="008B67DC">
      <w:pPr>
        <w:spacing w:line="360" w:lineRule="auto"/>
        <w:ind w:right="1252"/>
      </w:pPr>
      <w:hyperlink r:id="rId12" w:history="1">
        <w:r w:rsidR="00DD2850">
          <w:rPr>
            <w:rStyle w:val="Hyperlink"/>
          </w:rPr>
          <w:t>http://www.abs.gov.au/ausstats/abs@.nsf/mf/2033.0.55.001/</w:t>
        </w:r>
      </w:hyperlink>
    </w:p>
    <w:p w:rsidR="00DD2850" w:rsidRDefault="00DD2850" w:rsidP="008B67DC">
      <w:pPr>
        <w:spacing w:line="360" w:lineRule="auto"/>
        <w:ind w:right="1252"/>
      </w:pPr>
    </w:p>
    <w:p w:rsidR="00DD2850" w:rsidRDefault="00DD2850" w:rsidP="008B67DC">
      <w:pPr>
        <w:spacing w:line="360" w:lineRule="auto"/>
        <w:ind w:right="1252"/>
        <w:rPr>
          <w:b/>
        </w:rPr>
      </w:pPr>
      <w:r w:rsidRPr="00DD2850">
        <w:rPr>
          <w:b/>
        </w:rPr>
        <w:t xml:space="preserve">My Community Directory </w:t>
      </w:r>
    </w:p>
    <w:p w:rsidR="00DD2850" w:rsidRPr="00DD2850" w:rsidRDefault="00034099" w:rsidP="008B67DC">
      <w:pPr>
        <w:spacing w:line="360" w:lineRule="auto"/>
        <w:ind w:right="1252"/>
        <w:rPr>
          <w:b/>
          <w:sz w:val="24"/>
          <w:szCs w:val="24"/>
        </w:rPr>
      </w:pPr>
      <w:hyperlink r:id="rId13" w:history="1">
        <w:r w:rsidR="00DD2850">
          <w:rPr>
            <w:rStyle w:val="Hyperlink"/>
          </w:rPr>
          <w:t>http://www.mycommunitydirectory.com.au/</w:t>
        </w:r>
      </w:hyperlink>
      <w:r w:rsidR="00DD2850">
        <w:t xml:space="preserve">  (services within a region)</w:t>
      </w:r>
    </w:p>
    <w:sectPr w:rsidR="00DD2850" w:rsidRPr="00DD2850" w:rsidSect="00731D89">
      <w:headerReference w:type="default" r:id="rId14"/>
      <w:footerReference w:type="default" r:id="rId15"/>
      <w:pgSz w:w="11906" w:h="16838"/>
      <w:pgMar w:top="1670" w:right="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99" w:rsidRDefault="00034099" w:rsidP="00731D89">
      <w:r>
        <w:separator/>
      </w:r>
    </w:p>
  </w:endnote>
  <w:endnote w:type="continuationSeparator" w:id="0">
    <w:p w:rsidR="00034099" w:rsidRDefault="00034099" w:rsidP="007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DE" w:rsidRDefault="00D550DE">
    <w:pPr>
      <w:pStyle w:val="Footer"/>
    </w:pPr>
    <w:r w:rsidRPr="00D550DE"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2549237</wp:posOffset>
          </wp:positionH>
          <wp:positionV relativeFrom="paragraph">
            <wp:posOffset>-64828</wp:posOffset>
          </wp:positionV>
          <wp:extent cx="2175163" cy="706581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163" cy="706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0DE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13855</wp:posOffset>
          </wp:positionH>
          <wp:positionV relativeFrom="paragraph">
            <wp:posOffset>-64828</wp:posOffset>
          </wp:positionV>
          <wp:extent cx="1561754" cy="700231"/>
          <wp:effectExtent l="19050" t="0" r="346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 Logo (Small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54" cy="700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0DE" w:rsidRDefault="00D55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99" w:rsidRDefault="00034099" w:rsidP="00731D89">
      <w:r>
        <w:separator/>
      </w:r>
    </w:p>
  </w:footnote>
  <w:footnote w:type="continuationSeparator" w:id="0">
    <w:p w:rsidR="00034099" w:rsidRDefault="00034099" w:rsidP="0073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89" w:rsidRDefault="00731D89" w:rsidP="00731D89">
    <w:pPr>
      <w:pStyle w:val="NormalWeb"/>
      <w:shd w:val="clear" w:color="auto" w:fill="943634" w:themeFill="accent2" w:themeFillShade="BF"/>
      <w:spacing w:before="0" w:beforeAutospacing="0" w:after="0" w:afterAutospacing="0"/>
      <w:ind w:hanging="1418"/>
      <w:jc w:val="center"/>
      <w:rPr>
        <w:rFonts w:asciiTheme="minorHAnsi" w:hAnsi="Calibri" w:cstheme="minorBidi"/>
        <w:b/>
        <w:bCs/>
        <w:color w:val="FFFFFF" w:themeColor="background1"/>
        <w:kern w:val="24"/>
        <w:sz w:val="56"/>
        <w:szCs w:val="36"/>
        <w:highlight w:val="darkRed"/>
      </w:rPr>
    </w:pPr>
  </w:p>
  <w:p w:rsidR="00731D89" w:rsidRDefault="00731D89" w:rsidP="00731D89">
    <w:pPr>
      <w:pStyle w:val="NormalWeb"/>
      <w:shd w:val="clear" w:color="auto" w:fill="943634" w:themeFill="accent2" w:themeFillShade="BF"/>
      <w:spacing w:before="0" w:beforeAutospacing="0" w:after="0" w:afterAutospacing="0"/>
      <w:ind w:hanging="1418"/>
      <w:jc w:val="center"/>
      <w:rPr>
        <w:rFonts w:asciiTheme="minorHAnsi" w:hAnsi="Calibri" w:cstheme="minorBidi"/>
        <w:b/>
        <w:bCs/>
        <w:color w:val="FFFFFF" w:themeColor="background1"/>
        <w:kern w:val="24"/>
        <w:sz w:val="56"/>
        <w:szCs w:val="36"/>
      </w:rPr>
    </w:pPr>
    <w:r w:rsidRPr="00731D89">
      <w:rPr>
        <w:rFonts w:asciiTheme="minorHAnsi" w:hAnsi="Calibri" w:cstheme="minorBidi"/>
        <w:b/>
        <w:bCs/>
        <w:color w:val="FFFFFF" w:themeColor="background1"/>
        <w:kern w:val="24"/>
        <w:sz w:val="56"/>
        <w:szCs w:val="36"/>
        <w:highlight w:val="darkRed"/>
      </w:rPr>
      <w:t>INFORMATION is POWER</w:t>
    </w:r>
  </w:p>
  <w:p w:rsidR="00731D89" w:rsidRPr="001C567F" w:rsidRDefault="00731D89" w:rsidP="00731D89">
    <w:pPr>
      <w:pStyle w:val="NormalWeb"/>
      <w:shd w:val="clear" w:color="auto" w:fill="943634" w:themeFill="accent2" w:themeFillShade="BF"/>
      <w:spacing w:before="0" w:beforeAutospacing="0" w:after="0" w:afterAutospacing="0"/>
      <w:ind w:hanging="1418"/>
      <w:jc w:val="cent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CC6"/>
    <w:rsid w:val="000044ED"/>
    <w:rsid w:val="00034099"/>
    <w:rsid w:val="000475B2"/>
    <w:rsid w:val="000A001C"/>
    <w:rsid w:val="00113CC6"/>
    <w:rsid w:val="001A033C"/>
    <w:rsid w:val="001D6420"/>
    <w:rsid w:val="00227207"/>
    <w:rsid w:val="00456DC3"/>
    <w:rsid w:val="0047537F"/>
    <w:rsid w:val="004C1BC5"/>
    <w:rsid w:val="005120D9"/>
    <w:rsid w:val="006C3D02"/>
    <w:rsid w:val="00715C6C"/>
    <w:rsid w:val="00731D89"/>
    <w:rsid w:val="00874125"/>
    <w:rsid w:val="008B67DC"/>
    <w:rsid w:val="008C6BCB"/>
    <w:rsid w:val="008D32C3"/>
    <w:rsid w:val="009226C4"/>
    <w:rsid w:val="009E4980"/>
    <w:rsid w:val="00A8139D"/>
    <w:rsid w:val="00B97A13"/>
    <w:rsid w:val="00BC02EF"/>
    <w:rsid w:val="00C652F4"/>
    <w:rsid w:val="00CA3E47"/>
    <w:rsid w:val="00CC7C82"/>
    <w:rsid w:val="00CD71B3"/>
    <w:rsid w:val="00D550DE"/>
    <w:rsid w:val="00D930FF"/>
    <w:rsid w:val="00D9597D"/>
    <w:rsid w:val="00DD2850"/>
    <w:rsid w:val="00DE019E"/>
    <w:rsid w:val="00DE56DE"/>
    <w:rsid w:val="00EB3FD7"/>
    <w:rsid w:val="00EC6679"/>
    <w:rsid w:val="00ED4ADF"/>
    <w:rsid w:val="00F3684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D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31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89"/>
  </w:style>
  <w:style w:type="paragraph" w:styleId="Footer">
    <w:name w:val="footer"/>
    <w:basedOn w:val="Normal"/>
    <w:link w:val="FooterChar"/>
    <w:uiPriority w:val="99"/>
    <w:unhideWhenUsed/>
    <w:rsid w:val="00731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D89"/>
  </w:style>
  <w:style w:type="paragraph" w:styleId="BalloonText">
    <w:name w:val="Balloon Text"/>
    <w:basedOn w:val="Normal"/>
    <w:link w:val="BalloonTextChar"/>
    <w:uiPriority w:val="99"/>
    <w:semiHidden/>
    <w:unhideWhenUsed/>
    <w:rsid w:val="0073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indicatorsqld.org.au/rockhampton" TargetMode="External"/><Relationship Id="rId13" Type="http://schemas.openxmlformats.org/officeDocument/2006/relationships/hyperlink" Target="http://www.mycommunitydirectory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lg.org.au/upload/program1/1367468192_LGAQ_ACELG_Community_Wellbeing_Indicators.pdf" TargetMode="External"/><Relationship Id="rId12" Type="http://schemas.openxmlformats.org/officeDocument/2006/relationships/hyperlink" Target="http://www.abs.gov.au/ausstats/abs@.nsf/mf/2033.0.55.00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sight.regionalaustralia.org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alaustralia.gov.au/queens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indicators.net.a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Brentyn</cp:lastModifiedBy>
  <cp:revision>3</cp:revision>
  <cp:lastPrinted>2013-11-19T20:24:00Z</cp:lastPrinted>
  <dcterms:created xsi:type="dcterms:W3CDTF">2013-11-19T18:56:00Z</dcterms:created>
  <dcterms:modified xsi:type="dcterms:W3CDTF">2013-11-19T20:37:00Z</dcterms:modified>
</cp:coreProperties>
</file>